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日照蓝能智能科技有限公司</w:t>
      </w:r>
    </w:p>
    <w:p>
      <w:pPr>
        <w:spacing w:line="60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防汛应急预案</w:t>
      </w:r>
    </w:p>
    <w:p>
      <w:pPr>
        <w:jc w:val="center"/>
        <w:rPr>
          <w:rFonts w:ascii="黑体" w:hAnsi="黑体" w:eastAsia="黑体"/>
          <w:sz w:val="32"/>
          <w:szCs w:val="32"/>
        </w:rPr>
      </w:pPr>
    </w:p>
    <w:p>
      <w:pPr>
        <w:adjustRightInd w:val="0"/>
        <w:snapToGrid w:val="0"/>
        <w:spacing w:line="360" w:lineRule="auto"/>
        <w:ind w:firstLine="640" w:firstLineChars="200"/>
        <w:rPr>
          <w:rFonts w:ascii="黑体" w:hAnsi="黑体" w:eastAsia="黑体"/>
          <w:sz w:val="32"/>
          <w:szCs w:val="32"/>
        </w:rPr>
      </w:pPr>
      <w:r>
        <w:rPr>
          <w:rFonts w:hint="eastAsia" w:ascii="黑体" w:hAnsi="黑体" w:eastAsia="黑体"/>
          <w:sz w:val="32"/>
          <w:szCs w:val="32"/>
        </w:rPr>
        <w:t>一、编制目及依据</w:t>
      </w:r>
    </w:p>
    <w:p>
      <w:pPr>
        <w:adjustRightInd w:val="0"/>
        <w:snapToGrid w:val="0"/>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为有效预防、减少暴雨和洪水灾害，以及由此引发的崩塌、滑坡等灾害，提高灾害发生后的应急处置能力，减轻灾害对公司生产经营和设备设施造成的损害，在大雨、暴雨预报发布后能够高效、有序地做好洪水预防、预警工作，在洪灾发生后能够高效、有序地开展防洪救灾活动，制定本预案。</w:t>
      </w:r>
    </w:p>
    <w:p>
      <w:pPr>
        <w:adjustRightInd w:val="0"/>
        <w:snapToGrid w:val="0"/>
        <w:spacing w:line="360" w:lineRule="auto"/>
        <w:ind w:firstLine="640" w:firstLineChars="200"/>
        <w:rPr>
          <w:rFonts w:ascii="仿宋_GB2312" w:eastAsia="仿宋_GB2312"/>
          <w:sz w:val="32"/>
          <w:szCs w:val="21"/>
        </w:rPr>
      </w:pPr>
      <w:r>
        <w:rPr>
          <w:rFonts w:hint="eastAsia" w:ascii="仿宋_GB2312" w:eastAsia="仿宋_GB2312"/>
          <w:sz w:val="32"/>
          <w:szCs w:val="21"/>
        </w:rPr>
        <w:t>按照《中华人民共和国安全生产法》、国家安监总局《生产安全事故应急预案管理办法》（第17号令）、《企业安全生产应急管理九条规定》（第74号令）的要求，依据国家安监总局《生产经营单位安全生产事故应急预案编制导则》 （GB/T29639-2013）的标准，公司组织编制本预案。本预案自颁布之日起实施。</w:t>
      </w:r>
    </w:p>
    <w:p>
      <w:pPr>
        <w:adjustRightInd w:val="0"/>
        <w:snapToGrid w:val="0"/>
        <w:spacing w:line="360" w:lineRule="auto"/>
        <w:ind w:firstLine="640" w:firstLineChars="200"/>
        <w:rPr>
          <w:rFonts w:ascii="黑体" w:hAnsi="黑体" w:eastAsia="黑体"/>
          <w:sz w:val="32"/>
          <w:szCs w:val="32"/>
        </w:rPr>
      </w:pPr>
      <w:r>
        <w:rPr>
          <w:rFonts w:hint="eastAsia" w:ascii="黑体" w:hAnsi="黑体" w:eastAsia="黑体"/>
          <w:sz w:val="32"/>
          <w:szCs w:val="32"/>
        </w:rPr>
        <w:t>二、适用范围</w:t>
      </w:r>
    </w:p>
    <w:p>
      <w:pPr>
        <w:adjustRightInd w:val="0"/>
        <w:snapToGrid w:val="0"/>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本预案主要针对雨季雨水造成的各类危害，适用于日照蓝能智能科技有限公司所有生产部门防汛应对工作，作为防台防汛应急管理工作的指导性文件。</w:t>
      </w:r>
    </w:p>
    <w:p>
      <w:pPr>
        <w:adjustRightInd w:val="0"/>
        <w:snapToGrid w:val="0"/>
        <w:spacing w:line="360" w:lineRule="auto"/>
        <w:ind w:firstLine="640" w:firstLineChars="200"/>
        <w:rPr>
          <w:rFonts w:ascii="黑体" w:hAnsi="黑体" w:eastAsia="黑体"/>
          <w:sz w:val="32"/>
          <w:szCs w:val="32"/>
        </w:rPr>
      </w:pPr>
      <w:r>
        <w:rPr>
          <w:rFonts w:hint="eastAsia" w:ascii="黑体" w:hAnsi="黑体" w:eastAsia="黑体"/>
          <w:sz w:val="32"/>
          <w:szCs w:val="32"/>
        </w:rPr>
        <w:t>三、工作原则</w:t>
      </w:r>
    </w:p>
    <w:p>
      <w:pPr>
        <w:adjustRightInd w:val="0"/>
        <w:snapToGrid w:val="0"/>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(1)预防为主，常备不懈。</w:t>
      </w:r>
    </w:p>
    <w:p>
      <w:pPr>
        <w:adjustRightInd w:val="0"/>
        <w:snapToGrid w:val="0"/>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(2)统一领导，分级负责。</w:t>
      </w:r>
    </w:p>
    <w:p>
      <w:pPr>
        <w:adjustRightInd w:val="0"/>
        <w:snapToGrid w:val="0"/>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(3)依法规范，措施果断。</w:t>
      </w:r>
    </w:p>
    <w:p>
      <w:pPr>
        <w:adjustRightInd w:val="0"/>
        <w:snapToGrid w:val="0"/>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(4)依靠科学，加强合作。</w:t>
      </w:r>
    </w:p>
    <w:p>
      <w:pPr>
        <w:adjustRightInd w:val="0"/>
        <w:snapToGrid w:val="0"/>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(5)反应灵敏，运转高效。</w:t>
      </w:r>
    </w:p>
    <w:p>
      <w:pPr>
        <w:adjustRightInd w:val="0"/>
        <w:snapToGrid w:val="0"/>
        <w:spacing w:line="360" w:lineRule="auto"/>
        <w:ind w:firstLine="640" w:firstLineChars="200"/>
        <w:rPr>
          <w:rFonts w:ascii="黑体" w:hAnsi="黑体" w:eastAsia="黑体"/>
          <w:sz w:val="32"/>
          <w:szCs w:val="32"/>
        </w:rPr>
      </w:pPr>
      <w:r>
        <w:rPr>
          <w:rFonts w:hint="eastAsia" w:ascii="黑体" w:hAnsi="黑体" w:eastAsia="黑体"/>
          <w:sz w:val="32"/>
          <w:szCs w:val="32"/>
        </w:rPr>
        <w:t>四、组织领导</w:t>
      </w:r>
    </w:p>
    <w:p>
      <w:pPr>
        <w:adjustRightInd w:val="0"/>
        <w:snapToGrid w:val="0"/>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按照“统一领导、各负其责”原则，成立以公司经理为组长，各科室负责人、子公司（事业部）负责人为成员的应急领导小组，全面统筹协调公司防汛应急处置工作。应急领导小组下设办公室，办公室设在运安科，主任由运安科科长担任，负责日常工作和应急领导小组交办的事项。同时设抢险救援组、后勤保障组、监督巡查组三个职能小组，其中抢险救援组分为四支救援队伍，分别负责子公司、事业部属地的防汛抗洪工作。</w:t>
      </w:r>
    </w:p>
    <w:p>
      <w:pPr>
        <w:adjustRightInd w:val="0"/>
        <w:snapToGrid w:val="0"/>
        <w:spacing w:line="360" w:lineRule="auto"/>
        <w:ind w:firstLine="640" w:firstLineChars="200"/>
        <w:jc w:val="left"/>
        <w:rPr>
          <w:rFonts w:ascii="黑体" w:hAnsi="黑体" w:eastAsia="黑体"/>
          <w:sz w:val="32"/>
          <w:szCs w:val="32"/>
        </w:rPr>
      </w:pPr>
      <w:r>
        <w:rPr>
          <w:rFonts w:hint="eastAsia" w:ascii="黑体" w:hAnsi="黑体" w:eastAsia="黑体"/>
          <w:sz w:val="32"/>
          <w:szCs w:val="32"/>
        </w:rPr>
        <w:t>五、预警级别分类</w:t>
      </w:r>
    </w:p>
    <w:p>
      <w:pPr>
        <w:adjustRightInd w:val="0"/>
        <w:snapToGrid w:val="0"/>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根据天气预报及降雨量情况，预警分为三级，由轻到重分为黄色预警（Ⅲ级）、橙色预警（Ⅱ级）和红色预警（Ⅰ级），根据事态发展情况，预警可以升级、降级或解除。</w:t>
      </w:r>
    </w:p>
    <w:p>
      <w:pPr>
        <w:adjustRightInd w:val="0"/>
        <w:snapToGrid w:val="0"/>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1、黄色预警（Ⅲ级）：小到大雨。</w:t>
      </w:r>
    </w:p>
    <w:p>
      <w:pPr>
        <w:adjustRightInd w:val="0"/>
        <w:snapToGrid w:val="0"/>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2、橙色预警（Ⅱ级）：大雨到暴雨。</w:t>
      </w:r>
    </w:p>
    <w:p>
      <w:pPr>
        <w:adjustRightInd w:val="0"/>
        <w:snapToGrid w:val="0"/>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3、红色预警（Ⅰ级）：暴雨以上天气。</w:t>
      </w:r>
    </w:p>
    <w:p>
      <w:pPr>
        <w:adjustRightInd w:val="0"/>
        <w:snapToGrid w:val="0"/>
        <w:spacing w:line="360" w:lineRule="auto"/>
        <w:ind w:firstLine="640" w:firstLineChars="200"/>
        <w:rPr>
          <w:rFonts w:ascii="黑体" w:hAnsi="黑体" w:eastAsia="黑体"/>
          <w:sz w:val="32"/>
          <w:szCs w:val="32"/>
        </w:rPr>
      </w:pPr>
      <w:r>
        <w:rPr>
          <w:rFonts w:hint="eastAsia" w:ascii="黑体" w:hAnsi="黑体" w:eastAsia="黑体"/>
          <w:sz w:val="32"/>
          <w:szCs w:val="32"/>
        </w:rPr>
        <w:t>六、应急响应及措施</w:t>
      </w:r>
    </w:p>
    <w:p>
      <w:pPr>
        <w:adjustRightInd w:val="0"/>
        <w:snapToGrid w:val="0"/>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对应预警等级，实行3级响应。黄色预警（Ⅲ级）对应Ⅲ级应急响应，橙色预警（Ⅱ级）对应Ⅱ级应急响应，红色预警（Ⅰ级）对应I级应急响应。具体响应措施如下：</w:t>
      </w:r>
    </w:p>
    <w:p>
      <w:pPr>
        <w:adjustRightInd w:val="0"/>
        <w:snapToGrid w:val="0"/>
        <w:spacing w:line="360" w:lineRule="auto"/>
        <w:ind w:firstLine="640" w:firstLineChars="200"/>
        <w:rPr>
          <w:rFonts w:ascii="楷体_GB2312" w:hAnsi="黑体" w:eastAsia="楷体_GB2312"/>
          <w:sz w:val="32"/>
          <w:szCs w:val="32"/>
        </w:rPr>
      </w:pPr>
      <w:r>
        <w:rPr>
          <w:rFonts w:hint="eastAsia" w:ascii="仿宋_GB2312" w:hAnsi="黑体" w:eastAsia="仿宋_GB2312"/>
          <w:sz w:val="32"/>
          <w:szCs w:val="32"/>
        </w:rPr>
        <w:t>（一）</w:t>
      </w:r>
      <w:r>
        <w:rPr>
          <w:rFonts w:hint="eastAsia" w:ascii="楷体_GB2312" w:hAnsi="黑体" w:eastAsia="楷体_GB2312"/>
          <w:sz w:val="32"/>
          <w:szCs w:val="32"/>
        </w:rPr>
        <w:t>Ⅲ级应急响应措施。</w:t>
      </w:r>
      <w:r>
        <w:rPr>
          <w:rFonts w:hint="eastAsia" w:ascii="仿宋_GB2312" w:hAnsi="黑体" w:eastAsia="仿宋_GB2312"/>
          <w:sz w:val="32"/>
          <w:szCs w:val="32"/>
        </w:rPr>
        <w:t>值班人员随时监控雨情，如实记录值班情况，对突发事件及时处理或汇报相关负责人。</w:t>
      </w:r>
    </w:p>
    <w:p>
      <w:pPr>
        <w:adjustRightInd w:val="0"/>
        <w:snapToGrid w:val="0"/>
        <w:spacing w:line="360" w:lineRule="auto"/>
        <w:ind w:firstLine="640" w:firstLineChars="200"/>
        <w:rPr>
          <w:rFonts w:ascii="楷体_GB2312" w:hAnsi="黑体" w:eastAsia="楷体_GB2312"/>
          <w:sz w:val="32"/>
          <w:szCs w:val="32"/>
        </w:rPr>
      </w:pPr>
      <w:r>
        <w:rPr>
          <w:rFonts w:hint="eastAsia" w:ascii="楷体_GB2312" w:hAnsi="黑体" w:eastAsia="楷体_GB2312"/>
          <w:sz w:val="32"/>
          <w:szCs w:val="32"/>
        </w:rPr>
        <w:t>（二）Ⅱ级应急响应措施。</w:t>
      </w:r>
    </w:p>
    <w:p>
      <w:pPr>
        <w:adjustRightInd w:val="0"/>
        <w:snapToGrid w:val="0"/>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1、各职能小组根据防汛要求做好防汛准备工作。</w:t>
      </w:r>
    </w:p>
    <w:p>
      <w:pPr>
        <w:adjustRightInd w:val="0"/>
        <w:snapToGrid w:val="0"/>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2、防汛带班领导及值班人员到岗，时刻关注雨情。各职能小组保持联络畅通，根据各自经营场所实际情况开展抢险救援工作。</w:t>
      </w:r>
    </w:p>
    <w:p>
      <w:pPr>
        <w:adjustRightInd w:val="0"/>
        <w:snapToGrid w:val="0"/>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3、雨后按照各自职能对各自经营场所进行巡查整改。</w:t>
      </w:r>
    </w:p>
    <w:p>
      <w:pPr>
        <w:adjustRightInd w:val="0"/>
        <w:snapToGrid w:val="0"/>
        <w:spacing w:line="360" w:lineRule="auto"/>
        <w:ind w:firstLine="640" w:firstLineChars="200"/>
        <w:rPr>
          <w:rFonts w:ascii="楷体_GB2312" w:hAnsi="黑体" w:eastAsia="楷体_GB2312"/>
          <w:sz w:val="32"/>
          <w:szCs w:val="32"/>
        </w:rPr>
      </w:pPr>
      <w:r>
        <w:rPr>
          <w:rFonts w:hint="eastAsia" w:ascii="楷体_GB2312" w:hAnsi="黑体" w:eastAsia="楷体_GB2312"/>
          <w:sz w:val="32"/>
          <w:szCs w:val="32"/>
        </w:rPr>
        <w:t>（三）I 级应急响应措施</w:t>
      </w:r>
    </w:p>
    <w:p>
      <w:pPr>
        <w:adjustRightInd w:val="0"/>
        <w:snapToGrid w:val="0"/>
        <w:spacing w:line="360" w:lineRule="auto"/>
        <w:ind w:firstLine="640" w:firstLineChars="200"/>
        <w:rPr>
          <w:rFonts w:hint="eastAsia" w:ascii="仿宋_GB2312" w:hAnsi="黑体" w:eastAsia="仿宋_GB2312"/>
          <w:sz w:val="32"/>
          <w:szCs w:val="32"/>
        </w:rPr>
      </w:pPr>
      <w:r>
        <w:rPr>
          <w:rFonts w:hint="eastAsia" w:ascii="仿宋_GB2312" w:hAnsi="黑体" w:eastAsia="仿宋_GB2312"/>
          <w:sz w:val="32"/>
          <w:szCs w:val="32"/>
        </w:rPr>
        <w:t>1、各抢险队伍进入应急处置状态，职能小组随时做好物资调运准备。</w:t>
      </w:r>
    </w:p>
    <w:p>
      <w:pPr>
        <w:adjustRightInd w:val="0"/>
        <w:snapToGrid w:val="0"/>
        <w:spacing w:line="360" w:lineRule="auto"/>
        <w:ind w:firstLine="640" w:firstLineChars="200"/>
        <w:rPr>
          <w:rFonts w:hint="eastAsia" w:ascii="仿宋_GB2312" w:hAnsi="黑体" w:eastAsia="仿宋_GB2312"/>
          <w:sz w:val="32"/>
          <w:szCs w:val="32"/>
        </w:rPr>
      </w:pPr>
      <w:r>
        <w:rPr>
          <w:rFonts w:hint="eastAsia" w:ascii="仿宋_GB2312" w:hAnsi="黑体" w:eastAsia="仿宋_GB2312"/>
          <w:sz w:val="32"/>
          <w:szCs w:val="32"/>
        </w:rPr>
        <w:t>2、按照汛期值班计划，落实24小时值班制度，值班人员在岗在位，加强调度指挥，严密掌握一线动态，组织好抢险工作，主要生产部门停止生产作业或做好停业准备，有关情况及时上报防汛领导小组。</w:t>
      </w:r>
    </w:p>
    <w:p>
      <w:pPr>
        <w:adjustRightInd w:val="0"/>
        <w:snapToGrid w:val="0"/>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3、雨后按照各自职能对各自经营场所进行巡查整改。</w:t>
      </w:r>
    </w:p>
    <w:p>
      <w:pPr>
        <w:widowControl/>
        <w:shd w:val="clear" w:color="auto" w:fill="FFFFFF"/>
        <w:adjustRightInd w:val="0"/>
        <w:snapToGrid w:val="0"/>
        <w:spacing w:line="360" w:lineRule="auto"/>
        <w:ind w:firstLine="640"/>
        <w:rPr>
          <w:rFonts w:ascii="黑体" w:hAnsi="黑体" w:eastAsia="黑体" w:cs="宋体"/>
          <w:color w:val="000000"/>
          <w:kern w:val="0"/>
          <w:sz w:val="32"/>
          <w:szCs w:val="32"/>
        </w:rPr>
      </w:pPr>
      <w:r>
        <w:rPr>
          <w:rFonts w:hint="eastAsia" w:ascii="黑体" w:hAnsi="黑体" w:eastAsia="黑体" w:cs="宋体"/>
          <w:color w:val="000000"/>
          <w:kern w:val="0"/>
          <w:sz w:val="32"/>
          <w:szCs w:val="32"/>
        </w:rPr>
        <w:t>七、应急响应程序</w:t>
      </w:r>
    </w:p>
    <w:p>
      <w:pPr>
        <w:widowControl/>
        <w:shd w:val="clear" w:color="auto" w:fill="FFFFFF"/>
        <w:adjustRightInd w:val="0"/>
        <w:snapToGrid w:val="0"/>
        <w:spacing w:line="360" w:lineRule="auto"/>
        <w:ind w:firstLine="64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（一）根据天气预报及降雨量，以及有关部门发布的防汛通知和集团的部署，适时启动本预案。由应急领导小组办公室按照应急响应等级，迅速通知各职能小组按照响应措施，开展应急处置工作。</w:t>
      </w:r>
    </w:p>
    <w:p>
      <w:pPr>
        <w:widowControl/>
        <w:shd w:val="clear" w:color="auto" w:fill="FFFFFF"/>
        <w:adjustRightInd w:val="0"/>
        <w:snapToGrid w:val="0"/>
        <w:spacing w:line="360" w:lineRule="auto"/>
        <w:ind w:firstLine="630"/>
        <w:rPr>
          <w:rFonts w:ascii="仿宋_GB2312" w:hAnsi="微软雅黑" w:eastAsia="仿宋_GB2312" w:cs="宋体"/>
          <w:color w:val="000000"/>
          <w:kern w:val="0"/>
          <w:sz w:val="32"/>
          <w:szCs w:val="32"/>
        </w:rPr>
      </w:pPr>
      <w:r>
        <w:rPr>
          <w:rFonts w:hint="eastAsia" w:ascii="仿宋_GB2312" w:hAnsi="宋体" w:eastAsia="仿宋_GB2312" w:cs="宋体"/>
          <w:color w:val="000000"/>
          <w:kern w:val="0"/>
          <w:sz w:val="32"/>
          <w:szCs w:val="32"/>
        </w:rPr>
        <w:t>（二）根据应急处置的信息和通知要求，领导小组将对处置情况进行巡查和督查。</w:t>
      </w:r>
    </w:p>
    <w:p>
      <w:pPr>
        <w:widowControl/>
        <w:shd w:val="clear" w:color="auto" w:fill="FFFFFF"/>
        <w:adjustRightInd w:val="0"/>
        <w:snapToGrid w:val="0"/>
        <w:spacing w:line="360" w:lineRule="auto"/>
        <w:ind w:firstLine="640"/>
        <w:rPr>
          <w:rFonts w:ascii="仿宋_GB2312" w:hAnsi="微软雅黑" w:eastAsia="仿宋_GB2312" w:cs="宋体"/>
          <w:color w:val="000000"/>
          <w:kern w:val="0"/>
          <w:sz w:val="32"/>
          <w:szCs w:val="32"/>
        </w:rPr>
      </w:pPr>
      <w:r>
        <w:rPr>
          <w:rFonts w:hint="eastAsia" w:ascii="仿宋_GB2312" w:hAnsi="宋体" w:eastAsia="仿宋_GB2312" w:cs="宋体"/>
          <w:color w:val="000000"/>
          <w:kern w:val="0"/>
          <w:sz w:val="32"/>
          <w:szCs w:val="32"/>
        </w:rPr>
        <w:t>（三）根据雨情及有关部门通知，应急领导小组办公室及时通知解除应急状态。</w:t>
      </w:r>
    </w:p>
    <w:p>
      <w:pPr>
        <w:adjustRightInd w:val="0"/>
        <w:snapToGrid w:val="0"/>
        <w:spacing w:line="360" w:lineRule="auto"/>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（四）汛期值班期间，现场防洪值班人员应将水害信息如实记录并及时向领导小组办公室报告。</w:t>
      </w:r>
    </w:p>
    <w:p>
      <w:pPr>
        <w:adjustRightInd w:val="0"/>
        <w:snapToGrid w:val="0"/>
        <w:spacing w:line="360" w:lineRule="auto"/>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（五）应急响应行动结束后3日内，应急领导小组成员对水害事件处置过程进行总结，并将总结报告上报至领导小组办公室。</w:t>
      </w:r>
    </w:p>
    <w:p>
      <w:pPr>
        <w:adjustRightInd w:val="0"/>
        <w:snapToGrid w:val="0"/>
        <w:spacing w:line="360" w:lineRule="auto"/>
        <w:ind w:firstLine="640" w:firstLineChars="200"/>
        <w:rPr>
          <w:rFonts w:ascii="黑体" w:hAnsi="黑体" w:eastAsia="黑体"/>
          <w:sz w:val="32"/>
          <w:szCs w:val="32"/>
        </w:rPr>
      </w:pPr>
      <w:r>
        <w:rPr>
          <w:rFonts w:hint="eastAsia" w:ascii="黑体" w:hAnsi="黑体" w:eastAsia="黑体"/>
          <w:sz w:val="32"/>
          <w:szCs w:val="32"/>
        </w:rPr>
        <w:t>八、其他</w:t>
      </w:r>
    </w:p>
    <w:p>
      <w:pPr>
        <w:adjustRightInd w:val="0"/>
        <w:snapToGrid w:val="0"/>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1、本预案由公司防汛应急领导小组办公室负责解释。</w:t>
      </w:r>
    </w:p>
    <w:p>
      <w:pPr>
        <w:adjustRightInd w:val="0"/>
        <w:snapToGrid w:val="0"/>
        <w:spacing w:line="360" w:lineRule="auto"/>
        <w:ind w:firstLine="640" w:firstLineChars="200"/>
        <w:rPr>
          <w:rFonts w:ascii="仿宋_GB2312" w:hAnsi="黑体" w:eastAsia="仿宋_GB2312"/>
          <w:sz w:val="32"/>
          <w:szCs w:val="32"/>
        </w:rPr>
      </w:pPr>
      <w:r>
        <w:rPr>
          <w:rFonts w:hint="eastAsia" w:ascii="仿宋_GB2312" w:hAnsi="黑体" w:eastAsia="仿宋_GB2312"/>
          <w:sz w:val="32"/>
          <w:szCs w:val="32"/>
        </w:rPr>
        <w:t>2、本预案自发布之日起实施。</w:t>
      </w:r>
      <w:bookmarkStart w:id="0" w:name="_GoBack"/>
      <w:bookmarkEnd w:id="0"/>
    </w:p>
    <w:p>
      <w:pPr>
        <w:adjustRightInd w:val="0"/>
        <w:snapToGrid w:val="0"/>
        <w:spacing w:line="360" w:lineRule="auto"/>
        <w:jc w:val="center"/>
        <w:rPr>
          <w:rFonts w:ascii="黑体" w:hAnsi="黑体" w:eastAsia="黑体"/>
          <w:sz w:val="32"/>
          <w:szCs w:val="32"/>
        </w:rPr>
      </w:pPr>
    </w:p>
    <w:p>
      <w:pPr>
        <w:jc w:val="center"/>
        <w:rPr>
          <w:rFonts w:ascii="方正小标宋简体" w:hAnsi="黑体" w:eastAsia="方正小标宋简体"/>
          <w:sz w:val="44"/>
          <w:szCs w:val="4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zYwODYyNmJmNjgyZjI5MTkwNmI1NzhjNzc4YTQ4OTIifQ=="/>
  </w:docVars>
  <w:rsids>
    <w:rsidRoot w:val="00E50E3B"/>
    <w:rsid w:val="0000277A"/>
    <w:rsid w:val="00006BF1"/>
    <w:rsid w:val="00030A17"/>
    <w:rsid w:val="00040DE9"/>
    <w:rsid w:val="00060AC3"/>
    <w:rsid w:val="000617A7"/>
    <w:rsid w:val="00091F7F"/>
    <w:rsid w:val="000B1400"/>
    <w:rsid w:val="000C4C9B"/>
    <w:rsid w:val="000D050F"/>
    <w:rsid w:val="00120721"/>
    <w:rsid w:val="00161B88"/>
    <w:rsid w:val="00170D00"/>
    <w:rsid w:val="001E5366"/>
    <w:rsid w:val="00201D49"/>
    <w:rsid w:val="002622C2"/>
    <w:rsid w:val="00296AF8"/>
    <w:rsid w:val="002C245C"/>
    <w:rsid w:val="002D60B0"/>
    <w:rsid w:val="003325D9"/>
    <w:rsid w:val="003D0149"/>
    <w:rsid w:val="003E396B"/>
    <w:rsid w:val="00462CAE"/>
    <w:rsid w:val="004C0227"/>
    <w:rsid w:val="00507FA7"/>
    <w:rsid w:val="00522CAF"/>
    <w:rsid w:val="00537B50"/>
    <w:rsid w:val="005D5DAF"/>
    <w:rsid w:val="005E2E65"/>
    <w:rsid w:val="00623256"/>
    <w:rsid w:val="00643004"/>
    <w:rsid w:val="00671001"/>
    <w:rsid w:val="00681475"/>
    <w:rsid w:val="006909DC"/>
    <w:rsid w:val="006D334A"/>
    <w:rsid w:val="006F1B3F"/>
    <w:rsid w:val="006F7B1D"/>
    <w:rsid w:val="00731E41"/>
    <w:rsid w:val="007634F2"/>
    <w:rsid w:val="00774DEC"/>
    <w:rsid w:val="007A3937"/>
    <w:rsid w:val="007D7CFC"/>
    <w:rsid w:val="00810E73"/>
    <w:rsid w:val="00826AD6"/>
    <w:rsid w:val="00844639"/>
    <w:rsid w:val="008B2CE7"/>
    <w:rsid w:val="008F66FE"/>
    <w:rsid w:val="009538D9"/>
    <w:rsid w:val="00976F62"/>
    <w:rsid w:val="00994E4F"/>
    <w:rsid w:val="009A1110"/>
    <w:rsid w:val="009D0C91"/>
    <w:rsid w:val="009E6F04"/>
    <w:rsid w:val="00A31285"/>
    <w:rsid w:val="00A31814"/>
    <w:rsid w:val="00AA30DF"/>
    <w:rsid w:val="00AB25E2"/>
    <w:rsid w:val="00AB632E"/>
    <w:rsid w:val="00B533A6"/>
    <w:rsid w:val="00B60BA5"/>
    <w:rsid w:val="00BA79EC"/>
    <w:rsid w:val="00C45AF3"/>
    <w:rsid w:val="00C611F7"/>
    <w:rsid w:val="00C66BA0"/>
    <w:rsid w:val="00C91B5E"/>
    <w:rsid w:val="00CF7EF4"/>
    <w:rsid w:val="00D160E2"/>
    <w:rsid w:val="00D262A4"/>
    <w:rsid w:val="00D563CA"/>
    <w:rsid w:val="00D57F24"/>
    <w:rsid w:val="00D635A4"/>
    <w:rsid w:val="00DB0DFD"/>
    <w:rsid w:val="00DE22B7"/>
    <w:rsid w:val="00DE615E"/>
    <w:rsid w:val="00DF3401"/>
    <w:rsid w:val="00E26770"/>
    <w:rsid w:val="00E26B6F"/>
    <w:rsid w:val="00E50E3B"/>
    <w:rsid w:val="00E977C9"/>
    <w:rsid w:val="00EB60EC"/>
    <w:rsid w:val="00EF7E38"/>
    <w:rsid w:val="00F00789"/>
    <w:rsid w:val="00F04788"/>
    <w:rsid w:val="00F52347"/>
    <w:rsid w:val="00F62408"/>
    <w:rsid w:val="00FD74D4"/>
    <w:rsid w:val="00FE1AFF"/>
    <w:rsid w:val="00FF5BE2"/>
    <w:rsid w:val="512328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semiHidden/>
    <w:unhideWhenUsed/>
    <w:uiPriority w:val="99"/>
    <w:pPr>
      <w:tabs>
        <w:tab w:val="center" w:pos="4153"/>
        <w:tab w:val="right" w:pos="8306"/>
      </w:tabs>
      <w:snapToGrid w:val="0"/>
      <w:jc w:val="left"/>
    </w:pPr>
    <w:rPr>
      <w:sz w:val="18"/>
      <w:szCs w:val="18"/>
    </w:rPr>
  </w:style>
  <w:style w:type="paragraph" w:styleId="3">
    <w:name w:val="header"/>
    <w:basedOn w:val="1"/>
    <w:link w:val="9"/>
    <w:semiHidden/>
    <w:unhideWhenUsed/>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7">
    <w:name w:val="FollowedHyperlink"/>
    <w:basedOn w:val="6"/>
    <w:semiHidden/>
    <w:unhideWhenUsed/>
    <w:uiPriority w:val="99"/>
    <w:rPr>
      <w:color w:val="800080"/>
      <w:u w:val="single"/>
    </w:rPr>
  </w:style>
  <w:style w:type="character" w:styleId="8">
    <w:name w:val="Hyperlink"/>
    <w:basedOn w:val="6"/>
    <w:semiHidden/>
    <w:unhideWhenUsed/>
    <w:uiPriority w:val="99"/>
    <w:rPr>
      <w:color w:val="0000FF"/>
      <w:u w:val="single"/>
    </w:rPr>
  </w:style>
  <w:style w:type="character" w:customStyle="1" w:styleId="9">
    <w:name w:val="页眉 Char"/>
    <w:basedOn w:val="6"/>
    <w:link w:val="3"/>
    <w:semiHidden/>
    <w:uiPriority w:val="99"/>
    <w:rPr>
      <w:sz w:val="18"/>
      <w:szCs w:val="18"/>
    </w:rPr>
  </w:style>
  <w:style w:type="character" w:customStyle="1" w:styleId="10">
    <w:name w:val="页脚 Char"/>
    <w:basedOn w:val="6"/>
    <w:link w:val="2"/>
    <w:semiHidden/>
    <w:uiPriority w:val="99"/>
    <w:rPr>
      <w:sz w:val="18"/>
      <w:szCs w:val="18"/>
    </w:rPr>
  </w:style>
  <w:style w:type="paragraph" w:customStyle="1" w:styleId="11">
    <w:name w:val="font5"/>
    <w:basedOn w:val="1"/>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12">
    <w:name w:val="xl6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13">
    <w:name w:val="xl6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14">
    <w:name w:val="xl6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color w:val="000000"/>
      <w:kern w:val="0"/>
      <w:sz w:val="24"/>
      <w:szCs w:val="24"/>
    </w:rPr>
  </w:style>
  <w:style w:type="paragraph" w:customStyle="1" w:styleId="15">
    <w:name w:val="xl6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4"/>
      <w:szCs w:val="24"/>
    </w:rPr>
  </w:style>
  <w:style w:type="paragraph" w:customStyle="1" w:styleId="16">
    <w:name w:val="xl69"/>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7">
    <w:name w:val="xl70"/>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8">
    <w:name w:val="xl71"/>
    <w:basedOn w:val="1"/>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19">
    <w:name w:val="xl7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20">
    <w:name w:val="xl73"/>
    <w:basedOn w:val="1"/>
    <w:uiPriority w:val="0"/>
    <w:pPr>
      <w:widowControl/>
      <w:spacing w:before="100" w:beforeAutospacing="1" w:after="100" w:afterAutospacing="1"/>
      <w:jc w:val="center"/>
    </w:pPr>
    <w:rPr>
      <w:rFonts w:ascii="方正小标宋简体" w:hAnsi="宋体" w:eastAsia="方正小标宋简体" w:cs="宋体"/>
      <w:kern w:val="0"/>
      <w:sz w:val="36"/>
      <w:szCs w:val="36"/>
    </w:rPr>
  </w:style>
  <w:style w:type="paragraph" w:customStyle="1" w:styleId="21">
    <w:name w:val="xl74"/>
    <w:basedOn w:val="1"/>
    <w:uiPriority w:val="0"/>
    <w:pPr>
      <w:widowControl/>
      <w:pBdr>
        <w:top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22">
    <w:name w:val="xl75"/>
    <w:basedOn w:val="1"/>
    <w:uiPriority w:val="0"/>
    <w:pPr>
      <w:widowControl/>
      <w:pBdr>
        <w:top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23">
    <w:name w:val="xl76"/>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4">
    <w:name w:val="xl77"/>
    <w:basedOn w:val="1"/>
    <w:uiPriority w:val="0"/>
    <w:pPr>
      <w:widowControl/>
      <w:spacing w:before="100" w:beforeAutospacing="1" w:after="100" w:afterAutospacing="1"/>
      <w:jc w:val="left"/>
    </w:pPr>
    <w:rPr>
      <w:rFonts w:ascii="宋体" w:hAnsi="宋体" w:eastAsia="宋体" w:cs="宋体"/>
      <w:kern w:val="0"/>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8FEC4A-0E77-469A-89E3-F02E988BF799}">
  <ds:schemaRefs/>
</ds:datastoreItem>
</file>

<file path=docProps/app.xml><?xml version="1.0" encoding="utf-8"?>
<Properties xmlns="http://schemas.openxmlformats.org/officeDocument/2006/extended-properties" xmlns:vt="http://schemas.openxmlformats.org/officeDocument/2006/docPropsVTypes">
  <Template>Normal</Template>
  <Pages>10</Pages>
  <Words>3068</Words>
  <Characters>3192</Characters>
  <Lines>24</Lines>
  <Paragraphs>6</Paragraphs>
  <TotalTime>1956</TotalTime>
  <ScaleCrop>false</ScaleCrop>
  <LinksUpToDate>false</LinksUpToDate>
  <CharactersWithSpaces>3288</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2019-07-29T09:22:00Z</dcterms:created>
  <dc:creator>Windows 用户</dc:creator>
  <cp:lastModifiedBy>WPS_1642492764</cp:lastModifiedBy>
  <cp:lastPrinted>2020-05-08T09:16:00Z</cp:lastPrinted>
  <dcterms:modified xsi:type="dcterms:W3CDTF">2022-11-25T07:50:40Z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D2865C70F0C04E9D8A9CAE5F35E71A5D</vt:lpwstr>
  </property>
</Properties>
</file>